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750" w:lineRule="atLeast"/>
        <w:ind w:left="0" w:right="0"/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</w:pP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关于诸暨市大学生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基地（第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  <w:t>f二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批）拟认定名单公示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根据《关于支持和鼓励大学生来诸就业见习实习的实施意见》(诸人社发〔2019〕18号）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eastAsia="zh-CN"/>
        </w:rPr>
        <w:t>、《 关于支持和鼓励大学生来诸就业见习实习的实施细则》（诸人社发〔2019〕19 号）文件精神，经审核，拟认定以下企事业单位为诸暨市第二批大学生就业见习实习基地，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现予以公示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eastAsia="zh-CN"/>
        </w:rPr>
        <w:t>（名单见附件）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，公示起止时间为20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20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3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日至20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20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9</w:t>
      </w: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各有关单位和个人如对公示持有异议，请在公示时间内联系。提出异议应署真实姓名或加盖单位公章，并提供有效联系方式。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default"/>
          <w:lang w:val="en-US"/>
        </w:rPr>
      </w:pP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联系电话：0575-8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7211808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地  址：诸暨市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eastAsia="zh-CN"/>
        </w:rPr>
        <w:t>永昌路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2号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412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室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right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 w:val="0"/>
          <w:color w:val="333333"/>
          <w:shd w:val="clear" w:fill="FFFFFF"/>
        </w:rPr>
        <w:t> 诸暨市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eastAsia="zh-CN"/>
        </w:rPr>
        <w:t>人力资源和社会保障局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                                                                   20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</w:pP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诸暨市大学生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就业见习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实习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基地（第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二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</w:rPr>
        <w:t>批）拟认定名单</w:t>
      </w:r>
      <w:r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eastAsia="zh-CN"/>
        </w:rPr>
        <w:t>（排名不分前后）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7293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海亮集团有限公司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海亮教育管理集团有限公司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越烽建设集团有限公司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露笑新能源技术有限公司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浙江露通机电有限公司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浙江露笑电子线材有限公司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浙江博忆纺织科技有限公司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浙江卡锐机械有限公司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诸暨市陶朱街道初级中学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浙江中地净土科技有限公司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浙江长生鸟健康科技股份有限公司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浙江盾安机电科技有限公司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诸暨市翠溪生物技术研究院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浙江镨美科智能刺绣设备有限公司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浙江方圆机电设备制造有限公司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诸暨意创磁性技术有限公司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45"/>
                <w:szCs w:val="45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浙江诸暨第一百货有限公司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诸暨市一百超市有限公司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浙江诸暨一百购物中心有限公司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回音必集团浙江齐齐制药有限公司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i w:val="0"/>
          <w:color w:val="333333"/>
          <w:sz w:val="45"/>
          <w:szCs w:val="45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color w:val="3333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400A"/>
    <w:rsid w:val="16AC7AA2"/>
    <w:rsid w:val="2A0258BF"/>
    <w:rsid w:val="4948400A"/>
    <w:rsid w:val="5B6F6A4B"/>
    <w:rsid w:val="72D2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55555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yperlink"/>
    <w:basedOn w:val="6"/>
    <w:qFormat/>
    <w:uiPriority w:val="0"/>
    <w:rPr>
      <w:color w:val="555555"/>
      <w:u w:val="none"/>
    </w:rPr>
  </w:style>
  <w:style w:type="character" w:customStyle="1" w:styleId="11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2">
    <w:name w:val="globaldate"/>
    <w:basedOn w:val="6"/>
    <w:qFormat/>
    <w:uiPriority w:val="0"/>
  </w:style>
  <w:style w:type="character" w:customStyle="1" w:styleId="13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2019-11-20T01:37:00Z</dcterms:created>
  <dc:creator>Administrator</dc:creator>
  <cp:lastModifiedBy>Administrator</cp:lastModifiedBy>
  <dcterms:modified xsi:type="dcterms:W3CDTF">2020-01-02T03:16:33Z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