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CESI黑体-GB13000" w:hAnsi="CESI黑体-GB13000" w:eastAsia="CESI黑体-GB13000" w:cs="CESI黑体-GB13000"/>
          <w:bCs/>
          <w:sz w:val="36"/>
          <w:szCs w:val="36"/>
        </w:rPr>
        <w:t>诸暨市机关事务服务中心公开招聘编外用工报名表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7"/>
        <w:gridCol w:w="693"/>
        <w:gridCol w:w="781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学历及毕业学校、专业</w:t>
            </w:r>
          </w:p>
        </w:tc>
        <w:tc>
          <w:tcPr>
            <w:tcW w:w="382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8234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2、应如实填写，发现有不实或作假现象取消资格。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E7865CC"/>
    <w:rsid w:val="1E78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2022-09-20T06:32:00Z</dcterms:created>
  <dc:creator>藕荷旦旦</dc:creator>
  <cp:lastModifiedBy>藕荷旦旦</cp:lastModifiedBy>
  <dcterms:modified xsi:type="dcterms:W3CDTF">2022-09-20T06:33:19Z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AA202C22D088433AA94B0D5771F3AE42</vt:lpwstr>
  </property>
</Properties>
</file>