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28"/>
          <w:szCs w:val="28"/>
          <w:lang w:val="en-US" w:eastAsia="zh-CN" w:bidi="ar-SA"/>
        </w:rPr>
        <w:t>附件1:</w:t>
      </w:r>
      <w:bookmarkStart w:id="0" w:name="_GoBack"/>
      <w:bookmarkEnd w:id="0"/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2023年诸暨市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  <w:t>农业发展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有限公司公开招聘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  <w:t>员工计划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表</w:t>
      </w:r>
    </w:p>
    <w:p>
      <w:pPr>
        <w:pStyle w:val="2"/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677"/>
        <w:gridCol w:w="1609"/>
        <w:gridCol w:w="682"/>
        <w:gridCol w:w="668"/>
        <w:gridCol w:w="1760"/>
        <w:gridCol w:w="1145"/>
        <w:gridCol w:w="1445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45周岁以下（1977年6月1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1.具有5年（含）以上大中型企业管理工作经验，其中3年以上企业中高层管理工作经验；具有央企、上市公司、国有投融资公司工作经历者优先考虑；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2.熟悉农业农村和创新发展工作，具备与职位相匹配的任职经历和专业素养，有较强的开拓创新能力、处理复杂问题的能力。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办公室（党建室）工作人员1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45周岁以下（1977年6月1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1.具有行政事业单位、国有企业、规模以上企业等办公室或党建工作10年（含）以上工作经历；具备较强的沟通协调能力和良好的执行力；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2.适应经常性出差；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3.条件优秀者可适当放宽。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办公室（党建室）工作人员2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35周岁以下（1987年6月1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1.具有行政事业单位、国有企业、规模以上企业等办公室或党建工作2年（含）以上工作经历；具备较强的沟通协调能力和文字写作能力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2.适应出差。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投资运营部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40周岁以下（1982年6月1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经济、金融、财务、法律、营销等相关专业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具有3年以上金融行业或市场营销相关工作经验，熟悉国家相关法律法规政策,熟悉各类资本运作模式，熟悉公用品牌运作管理，熟悉农副产品营销。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财务融资部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40周岁以下（1982年6月1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财会相关专业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具有3年以上大型企业会计工作经验；掌握会计和税务专业知识，有较强的沟通协调能力；具有中级会计师职称；持有注册会计师证书、条件优秀者可适当放宽。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诸暨市农业发展有限公司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工程建设部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40周岁以下（1982年6月1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建筑工程相关专业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具备二级建造师或者造价师以上证书，3年及以上工程建设相关工作经历。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2D71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2023-06-14T07:30:32Z</dcterms:created>
  <dc:creator>86186</dc:creator>
  <cp:lastModifiedBy>86186</cp:lastModifiedBy>
  <dcterms:modified xsi:type="dcterms:W3CDTF">2023-06-14T07:32:31Z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87AB6BDE1F6F4872BE0686F6D7B45CD2_12</vt:lpwstr>
  </property>
</Properties>
</file>