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仿宋" w:hAnsi="仿宋" w:eastAsia="仿宋" w:cs="仿宋"/>
          <w:b w:val="0"/>
          <w:color w:val="333333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color w:val="333333"/>
          <w:sz w:val="30"/>
          <w:szCs w:val="30"/>
          <w:shd w:val="clear" w:fill="FFFFFF"/>
          <w:lang w:val="en-US" w:eastAsia="zh-CN"/>
        </w:rPr>
        <w:t>附件：</w:t>
      </w:r>
    </w:p>
    <w:p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</w:pP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val="en-US" w:eastAsia="zh-CN"/>
        </w:rPr>
        <w:t>2024年度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  <w:t>第二批诸暨市大学生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</w:rPr>
        <w:t>就业见习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  <w:t>实习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</w:rPr>
        <w:t>基地拟认定名单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  <w:t>（排名不分前后）</w:t>
      </w:r>
    </w:p>
    <w:p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</w:pPr>
    </w:p>
    <w:tbl>
      <w:tblPr>
        <w:tblStyle w:val="4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7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29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申科滑动轴承股份有限公司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诸暨和创磁电科技有限公司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八方建设集团有限公司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诸暨荣怀学校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浙江宁巍机械科技有限公司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浙江洪量新材科技有限公司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浙江智轩兴汽车零部件有限公司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诸暨和创电机科技有限公司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诸暨市乐业机电有限公司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浙江华珍科技有限公司</w:t>
            </w:r>
          </w:p>
        </w:tc>
      </w:tr>
    </w:tbl>
    <w:p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272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2024-03-16T06:48:47Z</dcterms:created>
  <dc:creator>86186</dc:creator>
  <cp:lastModifiedBy>星期。</cp:lastModifiedBy>
  <dcterms:modified xsi:type="dcterms:W3CDTF">2024-03-16T06:48:51Z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77B75F5290374DD89AA89C96F6FC12DA_12</vt:lpwstr>
  </property>
</Properties>
</file>