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w:t>
      </w:r>
    </w:p>
    <w:p>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答辩规则</w:t>
      </w:r>
    </w:p>
    <w:p>
      <w:pPr>
        <w:spacing w:line="520" w:lineRule="exact"/>
        <w:jc w:val="center"/>
        <w:rPr>
          <w:rFonts w:ascii="微软雅黑" w:hAnsi="微软雅黑"/>
          <w:b/>
          <w:sz w:val="36"/>
          <w:szCs w:val="36"/>
        </w:rPr>
      </w:pP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1.答辩人员应在答辩开始前30分钟凭本人有效期内身份证进入指定候试室报到，并按抽签顺序就坐。迟到人员不得参加答辩。</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2.答辩人员不得将通讯工具带入候试室，已带入的须关闭后交由候试室工作人员统一保管。</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3.严禁将手机、资料等规定以外的物品带至答辩考场，发现携带的作零分处理。</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4.考生在答辩过程中禁止通过任何方式向考官透露所在单位或个人信息，否则成绩作零分处理。</w:t>
      </w:r>
    </w:p>
    <w:p>
      <w:pPr>
        <w:spacing w:line="520" w:lineRule="exact"/>
        <w:ind w:firstLine="551"/>
        <w:rPr>
          <w:rFonts w:hint="eastAsia" w:ascii="仿宋_GB2312" w:hAnsi="宋体" w:eastAsia="仿宋_GB2312" w:cs="宋体"/>
          <w:sz w:val="32"/>
          <w:szCs w:val="32"/>
          <w:lang w:val="en-US" w:eastAsia="zh-CN"/>
        </w:rPr>
      </w:pPr>
      <w:bookmarkStart w:id="0" w:name="_GoBack"/>
      <w:bookmarkEnd w:id="0"/>
      <w:r>
        <w:rPr>
          <w:rFonts w:hint="eastAsia" w:ascii="仿宋_GB2312" w:hAnsi="宋体" w:eastAsia="仿宋_GB2312" w:cs="宋体"/>
          <w:sz w:val="32"/>
          <w:szCs w:val="32"/>
          <w:lang w:val="en-US" w:eastAsia="zh-CN"/>
        </w:rPr>
        <w:t>5.答辩人员在答辩结束后须立即离开答辩试场，不得再次进入候试室接触未答辩人员，不得向未答辩人员传递有关答辩试题信息，如发现，双方成绩作零分处理。</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6.答辩人员必须服从工作人员管理，不得以任何理由妨碍工作人员履行职责，不得扰乱答辩工作秩序。</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7.答辩人员持假证件参加答辩、让他人冒名顶替或代替他人参加答辩的，一经查实，答辩成绩作零分处理，并按人社部令第40号规定记入职称评审诚信档案库，纳入全国信用信息共享平台，记录期限为3年。</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8.答辩人员必须遵守本答辩规则。有违纪违规行为的，按职称评审有关规定处理。</w:t>
      </w:r>
    </w:p>
    <w:p>
      <w:pPr>
        <w:spacing w:line="520" w:lineRule="exact"/>
        <w:ind w:firstLine="551"/>
        <w:rPr>
          <w:rFonts w:hint="eastAsia" w:ascii="仿宋_GB2312" w:hAnsi="宋体" w:eastAsia="仿宋_GB2312" w:cs="宋体"/>
          <w:sz w:val="32"/>
          <w:szCs w:val="32"/>
          <w:lang w:val="en-US" w:eastAsia="zh-CN"/>
        </w:rPr>
      </w:pPr>
    </w:p>
    <w:p/>
    <w:sectPr>
      <w:headerReference r:id="rId3" w:type="default"/>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62A84"/>
    <w:rsid w:val="48C41A98"/>
    <w:rsid w:val="7DB62A84"/>
    <w:rsid w:val="7FCF27DD"/>
    <w:rsid w:val="AEBFA7A3"/>
    <w:rsid w:val="F6FDC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360" w:lineRule="auto"/>
      <w:jc w:val="center"/>
    </w:pPr>
    <w:rPr>
      <w:b/>
      <w:bCs/>
      <w:sz w:val="36"/>
    </w:rPr>
  </w:style>
  <w:style w:type="paragraph" w:styleId="3">
    <w:name w:val="header"/>
    <w:basedOn w:val="1"/>
    <w:qFormat/>
    <w:uiPriority w:val="0"/>
    <w:pPr>
      <w:pBdr>
        <w:bottom w:val="single" w:color="auto" w:sz="6" w:space="1"/>
      </w:pBdr>
      <w:tabs>
        <w:tab w:val="center" w:pos="4140"/>
        <w:tab w:val="right" w:pos="8300"/>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2023-10-07T16:28:00Z</dcterms:created>
  <dc:creator>thtf</dc:creator>
  <cp:lastModifiedBy>叫薛定谔的猫</cp:lastModifiedBy>
  <dcterms:modified xsi:type="dcterms:W3CDTF">2025-11-07T06:21:30Z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7EF59FB57BC54E0BA3A7602A4FDE1B88</vt:lpwstr>
  </property>
</Properties>
</file>